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E6" w:rsidRPr="00EE4BE6" w:rsidRDefault="00207C67" w:rsidP="00EE4BE6">
      <w:pPr>
        <w:spacing w:line="36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t>（様式５</w:t>
      </w:r>
      <w:r w:rsidR="00EE4BE6" w:rsidRPr="00EE4BE6">
        <w:rPr>
          <w:rFonts w:ascii="メイリオ" w:eastAsia="メイリオ" w:hAnsi="メイリオ" w:cs="Times New Roman" w:hint="eastAsia"/>
          <w:sz w:val="24"/>
          <w:szCs w:val="24"/>
        </w:rPr>
        <w:t>）</w:t>
      </w:r>
    </w:p>
    <w:p w:rsidR="00EE4BE6" w:rsidRPr="00EE4BE6" w:rsidRDefault="00EE4BE6" w:rsidP="00EE4BE6">
      <w:pPr>
        <w:spacing w:line="360" w:lineRule="exact"/>
        <w:rPr>
          <w:rFonts w:ascii="メイリオ" w:eastAsia="メイリオ" w:hAnsi="メイリオ" w:cs="Times New Roman"/>
          <w:sz w:val="24"/>
          <w:szCs w:val="24"/>
        </w:rPr>
      </w:pPr>
    </w:p>
    <w:p w:rsidR="00EE4BE6" w:rsidRPr="00EE4BE6" w:rsidRDefault="00EE4BE6" w:rsidP="00EE4BE6">
      <w:pPr>
        <w:spacing w:line="360" w:lineRule="exact"/>
        <w:jc w:val="center"/>
        <w:rPr>
          <w:rFonts w:ascii="メイリオ" w:eastAsia="メイリオ" w:hAnsi="メイリオ" w:cs="Times New Roman"/>
          <w:sz w:val="28"/>
          <w:szCs w:val="28"/>
        </w:rPr>
      </w:pPr>
      <w:r w:rsidRPr="00EE4BE6">
        <w:rPr>
          <w:rFonts w:ascii="メイリオ" w:eastAsia="メイリオ" w:hAnsi="メイリオ" w:cs="Times New Roman" w:hint="eastAsia"/>
          <w:b/>
          <w:sz w:val="28"/>
          <w:szCs w:val="28"/>
        </w:rPr>
        <w:t>誓　約　書</w:t>
      </w:r>
    </w:p>
    <w:p w:rsidR="00EE4BE6" w:rsidRPr="00EE4BE6" w:rsidRDefault="00EE4BE6" w:rsidP="00EE4BE6">
      <w:pPr>
        <w:spacing w:line="360" w:lineRule="exact"/>
        <w:jc w:val="center"/>
        <w:rPr>
          <w:rFonts w:ascii="メイリオ" w:eastAsia="メイリオ" w:hAnsi="メイリオ" w:cs="Times New Roman"/>
          <w:sz w:val="24"/>
          <w:szCs w:val="24"/>
        </w:rPr>
      </w:pPr>
    </w:p>
    <w:p w:rsidR="00EE4BE6" w:rsidRPr="00EE4BE6" w:rsidRDefault="00EE4BE6" w:rsidP="00EE4BE6">
      <w:pPr>
        <w:wordWrap w:val="0"/>
        <w:spacing w:line="360" w:lineRule="exact"/>
        <w:jc w:val="right"/>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 xml:space="preserve">　令和７年　月　　日　</w:t>
      </w:r>
    </w:p>
    <w:p w:rsidR="00EE4BE6" w:rsidRPr="00EE4BE6" w:rsidRDefault="00EE4BE6" w:rsidP="00EE4BE6">
      <w:pPr>
        <w:spacing w:line="360" w:lineRule="exact"/>
        <w:jc w:val="right"/>
        <w:rPr>
          <w:rFonts w:ascii="メイリオ" w:eastAsia="メイリオ" w:hAnsi="メイリオ" w:cs="Times New Roman"/>
          <w:sz w:val="24"/>
          <w:szCs w:val="24"/>
        </w:rPr>
      </w:pPr>
    </w:p>
    <w:p w:rsidR="00EE4BE6" w:rsidRPr="00EE4BE6" w:rsidRDefault="00EE4BE6" w:rsidP="00EE4BE6">
      <w:pPr>
        <w:spacing w:line="36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　熊本県知事</w:t>
      </w:r>
      <w:r w:rsidRPr="00EE4BE6">
        <w:rPr>
          <w:rFonts w:ascii="メイリオ" w:eastAsia="メイリオ" w:hAnsi="メイリオ" w:cs="Times New Roman" w:hint="eastAsia"/>
          <w:sz w:val="24"/>
          <w:szCs w:val="24"/>
        </w:rPr>
        <w:t xml:space="preserve">　様</w:t>
      </w:r>
    </w:p>
    <w:p w:rsidR="00EE4BE6" w:rsidRPr="00EE4BE6" w:rsidRDefault="00EE4BE6" w:rsidP="00EE4BE6">
      <w:pPr>
        <w:spacing w:line="360" w:lineRule="exact"/>
        <w:rPr>
          <w:rFonts w:ascii="メイリオ" w:eastAsia="メイリオ" w:hAnsi="メイリオ" w:cs="Times New Roman"/>
          <w:sz w:val="24"/>
          <w:szCs w:val="24"/>
        </w:rPr>
      </w:pPr>
    </w:p>
    <w:p w:rsidR="00EE4BE6" w:rsidRPr="00EE4BE6" w:rsidRDefault="00EE4BE6" w:rsidP="00EE4BE6">
      <w:pPr>
        <w:spacing w:line="360" w:lineRule="exact"/>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 xml:space="preserve">　　　　　　　　　　　　　　　　　　　　　　住　所</w:t>
      </w:r>
    </w:p>
    <w:p w:rsidR="00EE4BE6" w:rsidRPr="00EE4BE6" w:rsidRDefault="00EE4BE6" w:rsidP="00EE4BE6">
      <w:pPr>
        <w:spacing w:line="360" w:lineRule="exact"/>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 xml:space="preserve">　　　　　　　　　　　　　　　　　　　　　　会社名</w:t>
      </w:r>
    </w:p>
    <w:p w:rsidR="00EE4BE6" w:rsidRPr="00EE4BE6" w:rsidRDefault="00EE4BE6" w:rsidP="00EE4BE6">
      <w:pPr>
        <w:spacing w:line="360" w:lineRule="exact"/>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 xml:space="preserve">　　　　　　　　　　　　　　　　　　　　　　代表者職氏名　</w:t>
      </w:r>
    </w:p>
    <w:p w:rsidR="00EE4BE6" w:rsidRPr="00EE4BE6" w:rsidRDefault="00EE4BE6" w:rsidP="00EE4BE6">
      <w:pPr>
        <w:spacing w:line="360" w:lineRule="exact"/>
        <w:rPr>
          <w:rFonts w:ascii="メイリオ" w:eastAsia="メイリオ" w:hAnsi="メイリオ" w:cs="Times New Roman"/>
          <w:sz w:val="24"/>
          <w:szCs w:val="24"/>
        </w:rPr>
      </w:pPr>
    </w:p>
    <w:p w:rsidR="00EE4BE6" w:rsidRPr="00EE4BE6" w:rsidRDefault="00EE4BE6" w:rsidP="00EE4BE6">
      <w:pPr>
        <w:spacing w:line="36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t xml:space="preserve">　当法人（団体）は、令和７年国勢調査広報</w:t>
      </w:r>
      <w:r w:rsidR="00856F1B">
        <w:rPr>
          <w:rFonts w:ascii="メイリオ" w:eastAsia="メイリオ" w:hAnsi="メイリオ" w:cs="Times New Roman" w:hint="eastAsia"/>
          <w:sz w:val="24"/>
          <w:szCs w:val="24"/>
        </w:rPr>
        <w:t>業務委託</w:t>
      </w:r>
      <w:bookmarkStart w:id="0" w:name="_GoBack"/>
      <w:bookmarkEnd w:id="0"/>
      <w:r w:rsidRPr="00EE4BE6">
        <w:rPr>
          <w:rFonts w:ascii="メイリオ" w:eastAsia="メイリオ" w:hAnsi="メイリオ" w:cs="Times New Roman" w:hint="eastAsia"/>
          <w:sz w:val="24"/>
          <w:szCs w:val="24"/>
        </w:rPr>
        <w:t>公募型プロポーザルへの参加に当たり、下記に示す参加に必要な全ての資格要件を有していることを誓約します。</w:t>
      </w:r>
    </w:p>
    <w:p w:rsidR="00EE4BE6" w:rsidRPr="00EE4BE6" w:rsidRDefault="00EE4BE6" w:rsidP="00EE4BE6">
      <w:pPr>
        <w:spacing w:line="360" w:lineRule="exact"/>
        <w:jc w:val="center"/>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記</w:t>
      </w:r>
    </w:p>
    <w:p w:rsidR="00EE4BE6" w:rsidRPr="00EE4BE6" w:rsidRDefault="00EE4BE6" w:rsidP="00EE4BE6">
      <w:pPr>
        <w:spacing w:line="360" w:lineRule="exact"/>
        <w:ind w:left="720" w:hangingChars="300" w:hanging="720"/>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（１）</w:t>
      </w:r>
      <w:r>
        <w:rPr>
          <w:rFonts w:ascii="メイリオ" w:eastAsia="メイリオ" w:hAnsi="メイリオ" w:cs="Times New Roman" w:hint="eastAsia"/>
          <w:sz w:val="24"/>
          <w:szCs w:val="24"/>
        </w:rPr>
        <w:t xml:space="preserve">　</w:t>
      </w:r>
      <w:r w:rsidRPr="00EE4BE6">
        <w:rPr>
          <w:rFonts w:ascii="メイリオ" w:eastAsia="メイリオ" w:hAnsi="メイリオ" w:cs="Times New Roman" w:hint="eastAsia"/>
          <w:sz w:val="24"/>
          <w:szCs w:val="24"/>
        </w:rPr>
        <w:t>物品購入契約等及び業務委託契約に係る競争入札参加者の資格等に関する要綱（平成</w:t>
      </w:r>
      <w:r w:rsidRPr="00EE4BE6">
        <w:rPr>
          <w:rFonts w:ascii="メイリオ" w:eastAsia="メイリオ" w:hAnsi="メイリオ" w:cs="Times New Roman"/>
          <w:sz w:val="24"/>
          <w:szCs w:val="24"/>
        </w:rPr>
        <w:t>18年熊本県告示第521号）による審査のうえ、業務委託契約等入札参加資格者名簿の「広報・広告業務」のうち「企画・制作業務」に関する入札参加資格を有している者であること。</w:t>
      </w:r>
    </w:p>
    <w:p w:rsidR="00EE4BE6" w:rsidRPr="00EE4BE6" w:rsidRDefault="00EE4BE6" w:rsidP="00EE4BE6">
      <w:pPr>
        <w:spacing w:line="360" w:lineRule="exact"/>
        <w:ind w:left="720" w:hangingChars="300" w:hanging="720"/>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（２）</w:t>
      </w:r>
      <w:r>
        <w:rPr>
          <w:rFonts w:ascii="メイリオ" w:eastAsia="メイリオ" w:hAnsi="メイリオ" w:cs="Times New Roman" w:hint="eastAsia"/>
          <w:sz w:val="24"/>
          <w:szCs w:val="24"/>
        </w:rPr>
        <w:t xml:space="preserve">　</w:t>
      </w:r>
      <w:r w:rsidRPr="00EE4BE6">
        <w:rPr>
          <w:rFonts w:ascii="メイリオ" w:eastAsia="メイリオ" w:hAnsi="メイリオ" w:cs="Times New Roman" w:hint="eastAsia"/>
          <w:sz w:val="24"/>
          <w:szCs w:val="24"/>
        </w:rPr>
        <w:t>地方自治法施行令（昭和２２年政令第１６号）第１６７条の４第１項各号の規定に該当しない者であること。</w:t>
      </w:r>
      <w:r w:rsidRPr="00EE4BE6">
        <w:rPr>
          <w:rFonts w:ascii="メイリオ" w:eastAsia="メイリオ" w:hAnsi="メイリオ" w:cs="Times New Roman"/>
          <w:sz w:val="24"/>
          <w:szCs w:val="24"/>
        </w:rPr>
        <w:t xml:space="preserve"> </w:t>
      </w:r>
    </w:p>
    <w:p w:rsidR="00EE4BE6" w:rsidRPr="00EE4BE6" w:rsidRDefault="00EE4BE6" w:rsidP="00EE4BE6">
      <w:pPr>
        <w:spacing w:line="360" w:lineRule="exact"/>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（３）</w:t>
      </w:r>
      <w:r>
        <w:rPr>
          <w:rFonts w:ascii="メイリオ" w:eastAsia="メイリオ" w:hAnsi="メイリオ" w:cs="Times New Roman" w:hint="eastAsia"/>
          <w:sz w:val="24"/>
          <w:szCs w:val="24"/>
        </w:rPr>
        <w:t xml:space="preserve">　</w:t>
      </w:r>
      <w:r w:rsidRPr="00EE4BE6">
        <w:rPr>
          <w:rFonts w:ascii="メイリオ" w:eastAsia="メイリオ" w:hAnsi="メイリオ" w:cs="Times New Roman" w:hint="eastAsia"/>
          <w:sz w:val="24"/>
          <w:szCs w:val="24"/>
        </w:rPr>
        <w:t>企画提案書受付期間において、次のいずれにも該当しない者であること。</w:t>
      </w:r>
      <w:r w:rsidRPr="00EE4BE6">
        <w:rPr>
          <w:rFonts w:ascii="メイリオ" w:eastAsia="メイリオ" w:hAnsi="メイリオ" w:cs="Times New Roman"/>
          <w:sz w:val="24"/>
          <w:szCs w:val="24"/>
        </w:rPr>
        <w:t xml:space="preserve"> </w:t>
      </w:r>
    </w:p>
    <w:p w:rsidR="00EE4BE6" w:rsidRPr="00EE4BE6" w:rsidRDefault="00EE4BE6" w:rsidP="00EE4BE6">
      <w:pPr>
        <w:spacing w:line="360" w:lineRule="exact"/>
        <w:ind w:firstLineChars="200" w:firstLine="480"/>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ア　会社更生法（平成１４年法律第１５４号）第１７条の規定による更生手続開始の申</w:t>
      </w:r>
    </w:p>
    <w:p w:rsidR="00EE4BE6" w:rsidRPr="00EE4BE6" w:rsidRDefault="00EE4BE6" w:rsidP="00EE4BE6">
      <w:pPr>
        <w:spacing w:line="360" w:lineRule="exact"/>
        <w:ind w:leftChars="300" w:left="630"/>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立てを行った者又は申立てをなされた者にあっては、裁判所から当該申立てに係る更生計画認可の決定を受けている者。</w:t>
      </w:r>
      <w:r w:rsidRPr="00EE4BE6">
        <w:rPr>
          <w:rFonts w:ascii="メイリオ" w:eastAsia="メイリオ" w:hAnsi="メイリオ" w:cs="Times New Roman"/>
          <w:sz w:val="24"/>
          <w:szCs w:val="24"/>
        </w:rPr>
        <w:t xml:space="preserve"> </w:t>
      </w:r>
    </w:p>
    <w:p w:rsidR="00EE4BE6" w:rsidRPr="00EE4BE6" w:rsidRDefault="00EE4BE6" w:rsidP="00EE4BE6">
      <w:pPr>
        <w:spacing w:line="360" w:lineRule="exact"/>
        <w:ind w:firstLineChars="200" w:firstLine="480"/>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イ　民事再生法（平成１１年法律第２２５号）第２１条の規定による再生手続開始の申</w:t>
      </w:r>
    </w:p>
    <w:p w:rsidR="00EE4BE6" w:rsidRPr="00EE4BE6" w:rsidRDefault="00EE4BE6" w:rsidP="00EE4BE6">
      <w:pPr>
        <w:spacing w:line="360" w:lineRule="exact"/>
        <w:ind w:firstLineChars="300" w:firstLine="720"/>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立てを行った者又は申立てをなされた者にあっては、裁判所から当該申立てに係る再</w:t>
      </w:r>
    </w:p>
    <w:p w:rsidR="00EE4BE6" w:rsidRPr="00EE4BE6" w:rsidRDefault="00EE4BE6" w:rsidP="00EE4BE6">
      <w:pPr>
        <w:spacing w:line="360" w:lineRule="exact"/>
        <w:ind w:firstLineChars="300" w:firstLine="720"/>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生計画認可の決定を受けている者。</w:t>
      </w:r>
      <w:r w:rsidRPr="00EE4BE6">
        <w:rPr>
          <w:rFonts w:ascii="メイリオ" w:eastAsia="メイリオ" w:hAnsi="メイリオ" w:cs="Times New Roman"/>
          <w:sz w:val="24"/>
          <w:szCs w:val="24"/>
        </w:rPr>
        <w:t xml:space="preserve"> </w:t>
      </w:r>
    </w:p>
    <w:p w:rsidR="00EE4BE6" w:rsidRPr="00EE4BE6" w:rsidRDefault="00EE4BE6" w:rsidP="00EE4BE6">
      <w:pPr>
        <w:spacing w:line="360" w:lineRule="exact"/>
        <w:ind w:firstLineChars="200" w:firstLine="480"/>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ウ　熊本県物品購入等及び業務委託等契約に係る指名停止等の措置要領（平成</w:t>
      </w:r>
      <w:r w:rsidRPr="00EE4BE6">
        <w:rPr>
          <w:rFonts w:ascii="メイリオ" w:eastAsia="メイリオ" w:hAnsi="メイリオ" w:cs="Times New Roman"/>
          <w:sz w:val="24"/>
          <w:szCs w:val="24"/>
        </w:rPr>
        <w:t>14年</w:t>
      </w:r>
    </w:p>
    <w:p w:rsidR="00EE4BE6" w:rsidRPr="00EE4BE6" w:rsidRDefault="00EE4BE6" w:rsidP="00EE4BE6">
      <w:pPr>
        <w:spacing w:line="360" w:lineRule="exact"/>
        <w:ind w:firstLineChars="300" w:firstLine="720"/>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熊本県告示第</w:t>
      </w:r>
      <w:r w:rsidRPr="00EE4BE6">
        <w:rPr>
          <w:rFonts w:ascii="メイリオ" w:eastAsia="メイリオ" w:hAnsi="メイリオ" w:cs="Times New Roman"/>
          <w:sz w:val="24"/>
          <w:szCs w:val="24"/>
        </w:rPr>
        <w:t xml:space="preserve">811号）による指名停止期間中である者。 </w:t>
      </w:r>
    </w:p>
    <w:p w:rsidR="00EE4BE6" w:rsidRPr="00EE4BE6" w:rsidRDefault="00EE4BE6" w:rsidP="00EE4BE6">
      <w:pPr>
        <w:spacing w:line="360" w:lineRule="exact"/>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（４）　熊本県暴力団排除条例（平成２２年熊本県条例第５２号）第２条第２号に規定する</w:t>
      </w:r>
    </w:p>
    <w:p w:rsidR="00EE4BE6" w:rsidRPr="00EE4BE6" w:rsidRDefault="00EE4BE6" w:rsidP="00EE4BE6">
      <w:pPr>
        <w:spacing w:line="360" w:lineRule="exact"/>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 xml:space="preserve">　　　暴力団員及び同条第４号に規定する暴力団密接関係者に該当しない者であること。</w:t>
      </w:r>
      <w:r w:rsidRPr="00EE4BE6">
        <w:rPr>
          <w:rFonts w:ascii="メイリオ" w:eastAsia="メイリオ" w:hAnsi="メイリオ" w:cs="Times New Roman"/>
          <w:sz w:val="24"/>
          <w:szCs w:val="24"/>
        </w:rPr>
        <w:t xml:space="preserve"> </w:t>
      </w:r>
    </w:p>
    <w:p w:rsidR="00EE4BE6" w:rsidRPr="00EE4BE6" w:rsidRDefault="00EE4BE6" w:rsidP="00EE4BE6">
      <w:pPr>
        <w:spacing w:line="360" w:lineRule="exact"/>
        <w:ind w:left="720" w:hangingChars="300" w:hanging="720"/>
        <w:rPr>
          <w:rFonts w:ascii="メイリオ" w:eastAsia="メイリオ" w:hAnsi="メイリオ" w:cs="Times New Roman"/>
          <w:sz w:val="24"/>
          <w:szCs w:val="24"/>
        </w:rPr>
      </w:pPr>
      <w:r w:rsidRPr="00EE4BE6">
        <w:rPr>
          <w:rFonts w:ascii="メイリオ" w:eastAsia="メイリオ" w:hAnsi="メイリオ" w:cs="Times New Roman" w:hint="eastAsia"/>
          <w:sz w:val="24"/>
          <w:szCs w:val="24"/>
        </w:rPr>
        <w:t>（５）　熊本県内に本社・支店又は営業所を設けている等、業務の実施にあたり県との協議を密に行える体制を有していること。</w:t>
      </w:r>
    </w:p>
    <w:p w:rsidR="00EE4BE6" w:rsidRPr="00EE4BE6" w:rsidRDefault="00EE4BE6" w:rsidP="00EE4BE6">
      <w:pPr>
        <w:spacing w:line="360" w:lineRule="exact"/>
        <w:rPr>
          <w:rFonts w:ascii="メイリオ" w:eastAsia="メイリオ" w:hAnsi="メイリオ" w:cs="Times New Roman"/>
          <w:sz w:val="24"/>
          <w:szCs w:val="24"/>
        </w:rPr>
      </w:pPr>
    </w:p>
    <w:p w:rsidR="00861819" w:rsidRPr="00EE4BE6" w:rsidRDefault="00856F1B"/>
    <w:sectPr w:rsidR="00861819" w:rsidRPr="00EE4BE6" w:rsidSect="00F735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0564C"/>
    <w:multiLevelType w:val="hybridMultilevel"/>
    <w:tmpl w:val="337435A2"/>
    <w:lvl w:ilvl="0" w:tplc="C980E67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E6"/>
    <w:rsid w:val="00207C67"/>
    <w:rsid w:val="005C265C"/>
    <w:rsid w:val="00856F1B"/>
    <w:rsid w:val="009304E5"/>
    <w:rsid w:val="00EE4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014D2D"/>
  <w15:chartTrackingRefBased/>
  <w15:docId w15:val="{D5B0EB06-07A3-4C7F-AF17-C7279DC7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2505181</dc:creator>
  <cp:keywords/>
  <dc:description/>
  <cp:lastModifiedBy>2505181</cp:lastModifiedBy>
  <cp:revision>3</cp:revision>
  <dcterms:created xsi:type="dcterms:W3CDTF">2025-05-26T10:46:00Z</dcterms:created>
  <dcterms:modified xsi:type="dcterms:W3CDTF">2025-05-28T03:47:00Z</dcterms:modified>
</cp:coreProperties>
</file>